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70A8" w14:textId="77777777" w:rsidR="00D95A1A" w:rsidRPr="00D95A1A" w:rsidRDefault="00D95A1A" w:rsidP="00D95A1A">
      <w:pPr>
        <w:jc w:val="center"/>
        <w:rPr>
          <w:rFonts w:ascii="方正小标宋简体" w:eastAsia="方正小标宋简体"/>
          <w:color w:val="FF0000"/>
          <w:w w:val="33"/>
          <w:sz w:val="140"/>
          <w:szCs w:val="140"/>
        </w:rPr>
      </w:pPr>
      <w:r w:rsidRPr="00D95A1A">
        <w:rPr>
          <w:rFonts w:ascii="方正小标宋简体" w:eastAsia="方正小标宋简体" w:hint="eastAsia"/>
          <w:color w:val="FF0000"/>
          <w:w w:val="33"/>
          <w:sz w:val="140"/>
          <w:szCs w:val="140"/>
        </w:rPr>
        <w:t>中国共产党滕州</w:t>
      </w:r>
      <w:proofErr w:type="gramStart"/>
      <w:r w:rsidRPr="00D95A1A">
        <w:rPr>
          <w:rFonts w:ascii="方正小标宋简体" w:eastAsia="方正小标宋简体" w:hint="eastAsia"/>
          <w:color w:val="FF0000"/>
          <w:w w:val="33"/>
          <w:sz w:val="140"/>
          <w:szCs w:val="140"/>
        </w:rPr>
        <w:t>市善南</w:t>
      </w:r>
      <w:proofErr w:type="gramEnd"/>
      <w:r w:rsidRPr="00D95A1A">
        <w:rPr>
          <w:rFonts w:ascii="方正小标宋简体" w:eastAsia="方正小标宋简体" w:hint="eastAsia"/>
          <w:color w:val="FF0000"/>
          <w:w w:val="33"/>
          <w:sz w:val="140"/>
          <w:szCs w:val="140"/>
        </w:rPr>
        <w:t>街道工作委员会文件</w:t>
      </w:r>
    </w:p>
    <w:p w14:paraId="7AC589E9" w14:textId="77777777" w:rsidR="00D95A1A" w:rsidRDefault="00D95A1A" w:rsidP="00D95A1A">
      <w:pPr>
        <w:spacing w:line="900" w:lineRule="exact"/>
        <w:jc w:val="center"/>
        <w:rPr>
          <w:rFonts w:ascii="方正小标宋简体" w:eastAsia="方正小标宋简体" w:hint="eastAsia"/>
          <w:sz w:val="72"/>
          <w:szCs w:val="72"/>
        </w:rPr>
      </w:pPr>
      <w:r>
        <w:rPr>
          <w:rFonts w:ascii="仿宋_GB2312" w:eastAsia="仿宋_GB2312" w:hint="eastAsia"/>
          <w:sz w:val="32"/>
          <w:szCs w:val="32"/>
        </w:rPr>
        <w:t>滕善工委发〔2025〕</w:t>
      </w:r>
      <w:r>
        <w:rPr>
          <w:rFonts w:ascii="仿宋_GB2312" w:eastAsia="仿宋_GB2312" w:hint="eastAsia"/>
          <w:sz w:val="32"/>
          <w:szCs w:val="32"/>
        </w:rPr>
        <w:t>6</w:t>
      </w:r>
      <w:r>
        <w:rPr>
          <w:rFonts w:ascii="仿宋_GB2312" w:eastAsia="仿宋_GB2312" w:hint="eastAsia"/>
          <w:sz w:val="32"/>
          <w:szCs w:val="32"/>
        </w:rPr>
        <w:t>号</w:t>
      </w:r>
    </w:p>
    <w:p w14:paraId="0748A848" w14:textId="77777777" w:rsidR="00D95A1A" w:rsidRDefault="00D95A1A" w:rsidP="00D95A1A">
      <w:pPr>
        <w:spacing w:line="700" w:lineRule="exact"/>
        <w:jc w:val="center"/>
        <w:rPr>
          <w:rFonts w:ascii="方正小标宋简体" w:eastAsia="方正小标宋简体" w:hint="eastAsia"/>
          <w:sz w:val="60"/>
          <w:szCs w:val="60"/>
        </w:rPr>
      </w:pPr>
      <w:r>
        <w:rPr>
          <w:noProof/>
        </w:rPr>
        <mc:AlternateContent>
          <mc:Choice Requires="wps">
            <w:drawing>
              <wp:anchor distT="0" distB="0" distL="114300" distR="114300" simplePos="0" relativeHeight="251659264" behindDoc="0" locked="0" layoutInCell="1" allowOverlap="1" wp14:anchorId="7CA1625F" wp14:editId="54B5F7A8">
                <wp:simplePos x="0" y="0"/>
                <wp:positionH relativeFrom="column">
                  <wp:posOffset>3175</wp:posOffset>
                </wp:positionH>
                <wp:positionV relativeFrom="paragraph">
                  <wp:posOffset>214630</wp:posOffset>
                </wp:positionV>
                <wp:extent cx="5828030" cy="635"/>
                <wp:effectExtent l="0" t="0" r="20320" b="37465"/>
                <wp:wrapNone/>
                <wp:docPr id="137796354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635"/>
                        </a:xfrm>
                        <a:prstGeom prst="line">
                          <a:avLst/>
                        </a:prstGeom>
                        <a:noFill/>
                        <a:ln w="2540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974AA4" id="直接连接符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9pt" to="459.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4ldtQEAAEsDAAAOAAAAZHJzL2Uyb0RvYy54bWysU01v2zAMvQ/ofxB0X+ykSxEYcXpIl166&#10;LUDbH8BIsi1MFgVRiZ1/P0l10nW7DfNBkPjx+PhIr+/H3rCT8qTR1nw+KzlTVqDUtq3568vu84oz&#10;CmAlGLSq5mdF/H5z82k9uEotsEMjlWcRxFI1uJp3IbiqKEh0qgeaoVM2Ohv0PYT49G0hPQwRvTfF&#10;oizvigG9dB6FIorWhzcn32T8plEi/GgaUoGZmkduIZ8+n4d0Fps1VK0H12kx0YB/YNGDtrHoFeoB&#10;ArCj139B9Vp4JGzCTGBfYNNooXIPsZt5+Uc3zx04lXuJ4pC7ykT/D1Z8P23t3ifqYrTP7gnFT2IW&#10;tx3YVmUCL2cXBzdPUhWDo+qakh7k9p4dhm8oYwwcA2YVxsb3CTL2x8Ys9vkqthoDE9G4XC1W5W2c&#10;iYi+u9tlxofqkuo8hUeFPUuXmhttkxJQwemJQqIC1SUkmS3utDF5msayoeaL5ZeyzBmERsvkTXHk&#10;28PWeHaCuBC7XRm/qfCHMI9HKzNap0B+ne4BtHm7x+rGTnokCdK+UXVAed77i05xYpnmtF1pJX5/&#10;5+z3f2DzCwAA//8DAFBLAwQUAAYACAAAACEAlxYLedsAAAAGAQAADwAAAGRycy9kb3ducmV2Lnht&#10;bEyOy07DMBBF90j8gzVI7KgTokZtiFMhEEiwo1Cq7tx48hD2OIrdNvw901VZ3ofuPeVqclYccQy9&#10;JwXpLAGBVHvTU6vg6/PlbgEiRE1GW0+o4BcDrKrrq1IXxp/oA4/r2AoeoVBoBV2MQyFlqDt0Osz8&#10;gMRZ40enI8uxlWbUJx53Vt4nSS6d7okfOj3gU4f1z/rgFLx948Zsdu/Pc29N2mxf89B0uVK3N9Pj&#10;A4iIU7yU4YzP6FAx094fyARhFcy5pyDLmJ/TZbrIQOzPxhJkVcr/+NUfAAAA//8DAFBLAQItABQA&#10;BgAIAAAAIQC2gziS/gAAAOEBAAATAAAAAAAAAAAAAAAAAAAAAABbQ29udGVudF9UeXBlc10ueG1s&#10;UEsBAi0AFAAGAAgAAAAhADj9If/WAAAAlAEAAAsAAAAAAAAAAAAAAAAALwEAAF9yZWxzLy5yZWxz&#10;UEsBAi0AFAAGAAgAAAAhALXHiV21AQAASwMAAA4AAAAAAAAAAAAAAAAALgIAAGRycy9lMm9Eb2Mu&#10;eG1sUEsBAi0AFAAGAAgAAAAhAJcWC3nbAAAABgEAAA8AAAAAAAAAAAAAAAAADwQAAGRycy9kb3du&#10;cmV2LnhtbFBLBQYAAAAABAAEAPMAAAAXBQAAAAA=&#10;" strokecolor="red" strokeweight="2pt"/>
            </w:pict>
          </mc:Fallback>
        </mc:AlternateContent>
      </w:r>
    </w:p>
    <w:p w14:paraId="096C96B8" w14:textId="77777777" w:rsidR="00A24720" w:rsidRDefault="00A24720" w:rsidP="00D95A1A">
      <w:pPr>
        <w:overflowPunct w:val="0"/>
        <w:adjustRightInd w:val="0"/>
        <w:snapToGrid w:val="0"/>
        <w:spacing w:line="560" w:lineRule="exact"/>
        <w:jc w:val="center"/>
        <w:rPr>
          <w:rFonts w:ascii="方正小标宋简体" w:eastAsia="方正小标宋简体"/>
          <w:sz w:val="44"/>
          <w:szCs w:val="44"/>
        </w:rPr>
      </w:pPr>
    </w:p>
    <w:p w14:paraId="25DECC0A" w14:textId="77777777" w:rsidR="00A24720" w:rsidRDefault="00000000" w:rsidP="00D95A1A">
      <w:pPr>
        <w:overflowPunct w:val="0"/>
        <w:adjustRightInd w:val="0"/>
        <w:snapToGrid w:val="0"/>
        <w:spacing w:line="560" w:lineRule="exact"/>
        <w:jc w:val="center"/>
        <w:rPr>
          <w:rFonts w:ascii="方正小标宋简体" w:eastAsia="方正小标宋简体"/>
          <w:sz w:val="44"/>
          <w:szCs w:val="44"/>
        </w:rPr>
      </w:pPr>
      <w:bookmarkStart w:id="0" w:name="_Hlk186530733"/>
      <w:r>
        <w:rPr>
          <w:rFonts w:ascii="方正小标宋简体" w:eastAsia="方正小标宋简体" w:hint="eastAsia"/>
          <w:sz w:val="44"/>
          <w:szCs w:val="44"/>
        </w:rPr>
        <w:t>中共善南街道工作委员会</w:t>
      </w:r>
    </w:p>
    <w:p w14:paraId="6F466223" w14:textId="77777777" w:rsidR="00A24720" w:rsidRDefault="00000000" w:rsidP="00D95A1A">
      <w:pPr>
        <w:overflowPunct w:val="0"/>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pacing w:val="20"/>
          <w:sz w:val="44"/>
          <w:szCs w:val="44"/>
        </w:rPr>
        <w:t xml:space="preserve">善 南 街 道 办 事 </w:t>
      </w:r>
      <w:r>
        <w:rPr>
          <w:rFonts w:ascii="方正小标宋简体" w:eastAsia="方正小标宋简体" w:hint="eastAsia"/>
          <w:sz w:val="44"/>
          <w:szCs w:val="44"/>
        </w:rPr>
        <w:t>处</w:t>
      </w:r>
      <w:bookmarkEnd w:id="0"/>
    </w:p>
    <w:p w14:paraId="7A2FD5FE" w14:textId="77777777" w:rsidR="00A24720" w:rsidRDefault="00000000" w:rsidP="00D95A1A">
      <w:pPr>
        <w:overflowPunct w:val="0"/>
        <w:adjustRightInd w:val="0"/>
        <w:snapToGrid w:val="0"/>
        <w:spacing w:line="560" w:lineRule="exact"/>
        <w:jc w:val="center"/>
        <w:rPr>
          <w:rFonts w:ascii="方正小标宋简体" w:eastAsia="方正小标宋简体"/>
          <w:sz w:val="44"/>
          <w:szCs w:val="44"/>
        </w:rPr>
      </w:pPr>
      <w:bookmarkStart w:id="1" w:name="_Hlk162862617"/>
      <w:r>
        <w:rPr>
          <w:rFonts w:ascii="方正小标宋简体" w:eastAsia="方正小标宋简体" w:hint="eastAsia"/>
          <w:sz w:val="44"/>
          <w:szCs w:val="44"/>
        </w:rPr>
        <w:t>202</w:t>
      </w:r>
      <w:r w:rsidR="00CD4011">
        <w:rPr>
          <w:rFonts w:ascii="方正小标宋简体" w:eastAsia="方正小标宋简体" w:hint="eastAsia"/>
          <w:sz w:val="44"/>
          <w:szCs w:val="44"/>
        </w:rPr>
        <w:t>4</w:t>
      </w:r>
      <w:r>
        <w:rPr>
          <w:rFonts w:ascii="方正小标宋简体" w:eastAsia="方正小标宋简体" w:hint="eastAsia"/>
          <w:sz w:val="44"/>
          <w:szCs w:val="44"/>
        </w:rPr>
        <w:t>年度法治政府建设情况</w:t>
      </w:r>
      <w:bookmarkEnd w:id="1"/>
      <w:r>
        <w:rPr>
          <w:rFonts w:ascii="方正小标宋简体" w:eastAsia="方正小标宋简体" w:hint="eastAsia"/>
          <w:sz w:val="44"/>
          <w:szCs w:val="44"/>
        </w:rPr>
        <w:t>报告</w:t>
      </w:r>
    </w:p>
    <w:p w14:paraId="18316617" w14:textId="77777777" w:rsidR="00A24720" w:rsidRDefault="00A24720" w:rsidP="00D95A1A">
      <w:pPr>
        <w:overflowPunct w:val="0"/>
        <w:adjustRightInd w:val="0"/>
        <w:snapToGrid w:val="0"/>
        <w:spacing w:line="560" w:lineRule="exact"/>
        <w:jc w:val="center"/>
        <w:rPr>
          <w:rFonts w:ascii="方正小标宋简体" w:eastAsia="方正小标宋简体"/>
          <w:sz w:val="44"/>
          <w:szCs w:val="44"/>
        </w:rPr>
      </w:pPr>
    </w:p>
    <w:p w14:paraId="3A263ABA" w14:textId="77777777" w:rsidR="00A24720" w:rsidRDefault="00000000" w:rsidP="00D95A1A">
      <w:pPr>
        <w:pStyle w:val="TOC1"/>
        <w:overflowPunct w:val="0"/>
        <w:adjustRightInd w:val="0"/>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2024年，在市委、市政府的坚强领导下，</w:t>
      </w:r>
      <w:proofErr w:type="gramStart"/>
      <w:r>
        <w:rPr>
          <w:rFonts w:ascii="仿宋_GB2312" w:eastAsia="仿宋_GB2312" w:hAnsi="仿宋_GB2312" w:cs="仿宋_GB2312" w:hint="eastAsia"/>
          <w:color w:val="000000"/>
          <w:sz w:val="32"/>
          <w:szCs w:val="32"/>
        </w:rPr>
        <w:t>善南街道</w:t>
      </w:r>
      <w:proofErr w:type="gramEnd"/>
      <w:r>
        <w:rPr>
          <w:rFonts w:ascii="仿宋_GB2312" w:eastAsia="仿宋_GB2312" w:hAnsi="仿宋_GB2312" w:cs="仿宋_GB2312" w:hint="eastAsia"/>
          <w:color w:val="000000"/>
          <w:sz w:val="32"/>
          <w:szCs w:val="32"/>
        </w:rPr>
        <w:t>坚持以习近平新时代中国特色社会主义思想为指导，深入学习贯彻习近平法治思想和党的二十届三中全会精神，全面落实中央、省、市法治政府建设部署要求，对标《滕州市2024年法治政府建设工作计划》，积极推进基层法治政府建设，确保各项工作在法治轨道上稳健前行，为</w:t>
      </w:r>
      <w:r w:rsidR="00CD4011">
        <w:rPr>
          <w:rFonts w:ascii="仿宋_GB2312" w:eastAsia="仿宋_GB2312" w:hAnsi="仿宋_GB2312" w:cs="仿宋_GB2312" w:hint="eastAsia"/>
          <w:color w:val="000000"/>
          <w:sz w:val="32"/>
          <w:szCs w:val="32"/>
        </w:rPr>
        <w:t>街道经济</w:t>
      </w:r>
      <w:r>
        <w:rPr>
          <w:rFonts w:ascii="仿宋_GB2312" w:eastAsia="仿宋_GB2312" w:hAnsi="仿宋_GB2312" w:cs="仿宋_GB2312" w:hint="eastAsia"/>
          <w:color w:val="000000"/>
          <w:sz w:val="32"/>
          <w:szCs w:val="32"/>
        </w:rPr>
        <w:t>社会</w:t>
      </w:r>
      <w:r w:rsidR="00CD4011">
        <w:rPr>
          <w:rFonts w:ascii="仿宋_GB2312" w:eastAsia="仿宋_GB2312" w:hAnsi="仿宋_GB2312" w:cs="仿宋_GB2312" w:hint="eastAsia"/>
          <w:color w:val="000000"/>
          <w:sz w:val="32"/>
          <w:szCs w:val="32"/>
        </w:rPr>
        <w:t>高质量</w:t>
      </w:r>
      <w:r>
        <w:rPr>
          <w:rFonts w:ascii="仿宋_GB2312" w:eastAsia="仿宋_GB2312" w:hAnsi="仿宋_GB2312" w:cs="仿宋_GB2312" w:hint="eastAsia"/>
          <w:color w:val="000000"/>
          <w:sz w:val="32"/>
          <w:szCs w:val="32"/>
        </w:rPr>
        <w:t>发展提供坚实保障。现将2024年度法治政府建设工作情况报告如下：</w:t>
      </w:r>
    </w:p>
    <w:p w14:paraId="67A7B827" w14:textId="77777777" w:rsidR="00A24720" w:rsidRPr="00CD4011" w:rsidRDefault="00CD4011" w:rsidP="00D95A1A">
      <w:pPr>
        <w:pStyle w:val="TOC1"/>
        <w:overflowPunct w:val="0"/>
        <w:adjustRightInd w:val="0"/>
        <w:snapToGrid w:val="0"/>
        <w:spacing w:line="560" w:lineRule="exact"/>
        <w:ind w:firstLineChars="200" w:firstLine="640"/>
        <w:rPr>
          <w:rFonts w:ascii="黑体" w:eastAsia="黑体" w:hAnsi="黑体" w:cs="仿宋_GB2312" w:hint="eastAsia"/>
          <w:b/>
          <w:bCs/>
          <w:color w:val="000000"/>
          <w:sz w:val="32"/>
          <w:szCs w:val="32"/>
        </w:rPr>
      </w:pPr>
      <w:r>
        <w:rPr>
          <w:rFonts w:ascii="黑体" w:eastAsia="黑体" w:hAnsi="黑体" w:cs="楷体_GB2312" w:hint="eastAsia"/>
          <w:color w:val="000000"/>
          <w:sz w:val="32"/>
          <w:szCs w:val="32"/>
        </w:rPr>
        <w:t>一、</w:t>
      </w:r>
      <w:r w:rsidRPr="00CD4011">
        <w:rPr>
          <w:rFonts w:ascii="黑体" w:eastAsia="黑体" w:hAnsi="黑体" w:hint="eastAsia"/>
          <w:color w:val="000000"/>
          <w:sz w:val="32"/>
          <w:szCs w:val="32"/>
        </w:rPr>
        <w:t>2024</w:t>
      </w:r>
      <w:r w:rsidRPr="00CD4011">
        <w:rPr>
          <w:rFonts w:ascii="黑体" w:eastAsia="黑体" w:hAnsi="黑体" w:cs="楷体_GB2312" w:hint="eastAsia"/>
          <w:color w:val="000000"/>
          <w:sz w:val="32"/>
          <w:szCs w:val="32"/>
        </w:rPr>
        <w:t>年度推进法治政府建设的主要举措和成效</w:t>
      </w:r>
      <w:r w:rsidR="00421F79">
        <w:rPr>
          <w:rFonts w:ascii="黑体" w:eastAsia="黑体" w:hAnsi="黑体" w:cs="楷体_GB2312" w:hint="eastAsia"/>
          <w:color w:val="000000"/>
          <w:sz w:val="32"/>
          <w:szCs w:val="32"/>
        </w:rPr>
        <w:t>。</w:t>
      </w:r>
    </w:p>
    <w:p w14:paraId="28508E0E" w14:textId="77777777" w:rsidR="00A24720" w:rsidRDefault="00CD4011" w:rsidP="00D95A1A">
      <w:pPr>
        <w:overflowPunct w:val="0"/>
        <w:adjustRightInd w:val="0"/>
        <w:snapToGrid w:val="0"/>
        <w:spacing w:line="560" w:lineRule="exact"/>
        <w:ind w:firstLineChars="200" w:firstLine="643"/>
        <w:rPr>
          <w:rFonts w:ascii="仿宋_GB2312" w:eastAsia="仿宋_GB2312"/>
          <w:sz w:val="32"/>
          <w:szCs w:val="32"/>
        </w:rPr>
      </w:pPr>
      <w:r>
        <w:rPr>
          <w:rFonts w:ascii="楷体_GB2312" w:eastAsia="楷体_GB2312" w:hAnsi="黑体" w:hint="eastAsia"/>
          <w:b/>
          <w:bCs/>
          <w:sz w:val="32"/>
          <w:szCs w:val="32"/>
        </w:rPr>
        <w:t>（一）扛</w:t>
      </w:r>
      <w:proofErr w:type="gramStart"/>
      <w:r>
        <w:rPr>
          <w:rFonts w:ascii="楷体_GB2312" w:eastAsia="楷体_GB2312" w:hAnsi="黑体" w:hint="eastAsia"/>
          <w:b/>
          <w:bCs/>
          <w:sz w:val="32"/>
          <w:szCs w:val="32"/>
        </w:rPr>
        <w:t>牢责任</w:t>
      </w:r>
      <w:proofErr w:type="gramEnd"/>
      <w:r>
        <w:rPr>
          <w:rFonts w:ascii="楷体_GB2312" w:eastAsia="楷体_GB2312" w:hAnsi="黑体" w:hint="eastAsia"/>
          <w:b/>
          <w:bCs/>
          <w:sz w:val="32"/>
          <w:szCs w:val="32"/>
        </w:rPr>
        <w:t>担当，加强法治建设组织领导。</w:t>
      </w:r>
      <w:r>
        <w:rPr>
          <w:rFonts w:ascii="仿宋_GB2312" w:eastAsia="仿宋_GB2312" w:hint="eastAsia"/>
          <w:b/>
          <w:bCs/>
          <w:sz w:val="32"/>
          <w:szCs w:val="32"/>
        </w:rPr>
        <w:t>一是压实工作责任。</w:t>
      </w:r>
      <w:r w:rsidRPr="00CD4011">
        <w:rPr>
          <w:rFonts w:ascii="仿宋_GB2312" w:eastAsia="仿宋_GB2312" w:hint="eastAsia"/>
          <w:sz w:val="32"/>
          <w:szCs w:val="32"/>
        </w:rPr>
        <w:t>党政主要领导</w:t>
      </w:r>
      <w:r>
        <w:rPr>
          <w:rFonts w:ascii="仿宋_GB2312" w:eastAsia="仿宋_GB2312" w:hint="eastAsia"/>
          <w:sz w:val="32"/>
          <w:szCs w:val="32"/>
        </w:rPr>
        <w:t>严格履行第一责任人职责，做到重大工作亲自部署、重要问题亲自过问、重点环节亲自督办，落实领导干</w:t>
      </w:r>
      <w:r>
        <w:rPr>
          <w:rFonts w:ascii="仿宋_GB2312" w:eastAsia="仿宋_GB2312" w:hint="eastAsia"/>
          <w:sz w:val="32"/>
          <w:szCs w:val="32"/>
        </w:rPr>
        <w:lastRenderedPageBreak/>
        <w:t>部“一岗双责”，将法治建设与中心工作一体谋划推进。</w:t>
      </w:r>
      <w:r>
        <w:rPr>
          <w:rFonts w:ascii="仿宋_GB2312" w:eastAsia="仿宋_GB2312" w:hint="eastAsia"/>
          <w:b/>
          <w:bCs/>
          <w:sz w:val="32"/>
          <w:szCs w:val="32"/>
        </w:rPr>
        <w:t>二是加强机构建设。</w:t>
      </w:r>
      <w:r>
        <w:rPr>
          <w:rFonts w:ascii="仿宋_GB2312" w:eastAsia="仿宋_GB2312" w:hint="eastAsia"/>
          <w:sz w:val="32"/>
          <w:szCs w:val="32"/>
        </w:rPr>
        <w:t>调整街道</w:t>
      </w:r>
      <w:proofErr w:type="gramStart"/>
      <w:r>
        <w:rPr>
          <w:rFonts w:ascii="仿宋_GB2312" w:eastAsia="仿宋_GB2312" w:hint="eastAsia"/>
          <w:sz w:val="32"/>
          <w:szCs w:val="32"/>
        </w:rPr>
        <w:t>依法治街工作</w:t>
      </w:r>
      <w:proofErr w:type="gramEnd"/>
      <w:r>
        <w:rPr>
          <w:rFonts w:ascii="仿宋_GB2312" w:eastAsia="仿宋_GB2312" w:hint="eastAsia"/>
          <w:sz w:val="32"/>
          <w:szCs w:val="32"/>
        </w:rPr>
        <w:t>领导小组，成立平安法治办公室，</w:t>
      </w:r>
      <w:proofErr w:type="gramStart"/>
      <w:r>
        <w:rPr>
          <w:rFonts w:ascii="仿宋_GB2312" w:eastAsia="仿宋_GB2312" w:hint="eastAsia"/>
          <w:sz w:val="32"/>
          <w:szCs w:val="32"/>
        </w:rPr>
        <w:t>充实配强人员</w:t>
      </w:r>
      <w:proofErr w:type="gramEnd"/>
      <w:r>
        <w:rPr>
          <w:rFonts w:ascii="仿宋_GB2312" w:eastAsia="仿宋_GB2312" w:hint="eastAsia"/>
          <w:sz w:val="32"/>
          <w:szCs w:val="32"/>
        </w:rPr>
        <w:t>力量，推动</w:t>
      </w:r>
      <w:proofErr w:type="gramStart"/>
      <w:r>
        <w:rPr>
          <w:rFonts w:ascii="仿宋_GB2312" w:eastAsia="仿宋_GB2312" w:hint="eastAsia"/>
          <w:sz w:val="32"/>
          <w:szCs w:val="32"/>
        </w:rPr>
        <w:t>依法治街融入</w:t>
      </w:r>
      <w:proofErr w:type="gramEnd"/>
      <w:r>
        <w:rPr>
          <w:rFonts w:ascii="仿宋_GB2312" w:eastAsia="仿宋_GB2312" w:hint="eastAsia"/>
          <w:sz w:val="32"/>
          <w:szCs w:val="32"/>
        </w:rPr>
        <w:t>到党工委、办事处各项工作中。</w:t>
      </w:r>
      <w:r>
        <w:rPr>
          <w:rFonts w:ascii="仿宋_GB2312" w:eastAsia="仿宋_GB2312" w:hint="eastAsia"/>
          <w:b/>
          <w:bCs/>
          <w:sz w:val="32"/>
          <w:szCs w:val="32"/>
        </w:rPr>
        <w:t>三是坚持定期</w:t>
      </w:r>
      <w:proofErr w:type="gramStart"/>
      <w:r>
        <w:rPr>
          <w:rFonts w:ascii="仿宋_GB2312" w:eastAsia="仿宋_GB2312" w:hint="eastAsia"/>
          <w:b/>
          <w:bCs/>
          <w:sz w:val="32"/>
          <w:szCs w:val="32"/>
        </w:rPr>
        <w:t>研</w:t>
      </w:r>
      <w:proofErr w:type="gramEnd"/>
      <w:r>
        <w:rPr>
          <w:rFonts w:ascii="仿宋_GB2312" w:eastAsia="仿宋_GB2312" w:hint="eastAsia"/>
          <w:b/>
          <w:bCs/>
          <w:sz w:val="32"/>
          <w:szCs w:val="32"/>
        </w:rPr>
        <w:t>判。</w:t>
      </w:r>
      <w:r>
        <w:rPr>
          <w:rFonts w:ascii="仿宋_GB2312" w:eastAsia="仿宋_GB2312" w:hint="eastAsia"/>
          <w:sz w:val="32"/>
          <w:szCs w:val="32"/>
        </w:rPr>
        <w:t>把法治建设纳入年度工作计划，主持召开法治工作专题会议2次，专题听取法治建设情况汇报，协调推进解决重大问题，</w:t>
      </w:r>
      <w:bookmarkStart w:id="2" w:name="_Hlk183858373"/>
      <w:r>
        <w:rPr>
          <w:rFonts w:ascii="仿宋_GB2312" w:eastAsia="仿宋_GB2312" w:hint="eastAsia"/>
          <w:sz w:val="32"/>
          <w:szCs w:val="32"/>
        </w:rPr>
        <w:t>为经济社会发展提供坚强法治保障。</w:t>
      </w:r>
      <w:bookmarkEnd w:id="2"/>
    </w:p>
    <w:p w14:paraId="3566796A" w14:textId="77777777" w:rsidR="00A24720" w:rsidRDefault="00000000" w:rsidP="00D95A1A">
      <w:pPr>
        <w:overflowPunct w:val="0"/>
        <w:adjustRightInd w:val="0"/>
        <w:snapToGrid w:val="0"/>
        <w:spacing w:line="560" w:lineRule="exact"/>
        <w:ind w:firstLineChars="200" w:firstLine="643"/>
        <w:rPr>
          <w:rFonts w:ascii="仿宋_GB2312" w:eastAsia="仿宋_GB2312"/>
          <w:sz w:val="32"/>
          <w:szCs w:val="32"/>
        </w:rPr>
      </w:pPr>
      <w:r>
        <w:rPr>
          <w:rFonts w:ascii="楷体_GB2312" w:eastAsia="楷体_GB2312" w:hAnsi="黑体" w:hint="eastAsia"/>
          <w:b/>
          <w:bCs/>
          <w:sz w:val="32"/>
          <w:szCs w:val="32"/>
        </w:rPr>
        <w:t>（二）强化法治引领，推动普法工作</w:t>
      </w:r>
      <w:proofErr w:type="gramStart"/>
      <w:r>
        <w:rPr>
          <w:rFonts w:ascii="楷体_GB2312" w:eastAsia="楷体_GB2312" w:hAnsi="黑体" w:hint="eastAsia"/>
          <w:b/>
          <w:bCs/>
          <w:sz w:val="32"/>
          <w:szCs w:val="32"/>
        </w:rPr>
        <w:t>走深走实</w:t>
      </w:r>
      <w:proofErr w:type="gramEnd"/>
      <w:r>
        <w:rPr>
          <w:rFonts w:ascii="楷体_GB2312" w:eastAsia="楷体_GB2312" w:hAnsi="黑体" w:hint="eastAsia"/>
          <w:b/>
          <w:bCs/>
          <w:sz w:val="32"/>
          <w:szCs w:val="32"/>
        </w:rPr>
        <w:t>。</w:t>
      </w:r>
      <w:r>
        <w:rPr>
          <w:rFonts w:ascii="仿宋_GB2312" w:eastAsia="仿宋_GB2312" w:hint="eastAsia"/>
          <w:b/>
          <w:bCs/>
          <w:sz w:val="32"/>
          <w:szCs w:val="32"/>
        </w:rPr>
        <w:t>一是领导干部带头学法。</w:t>
      </w:r>
      <w:r>
        <w:rPr>
          <w:rFonts w:ascii="仿宋_GB2312" w:eastAsia="仿宋_GB2312" w:hint="eastAsia"/>
          <w:sz w:val="32"/>
          <w:szCs w:val="32"/>
        </w:rPr>
        <w:t>把习近平法治思想纳入党工委会议、中心组学习重要内容，深入学习中国特色社会主义法律体系和党内法规，今年以来，累计组织街道领导班子学法6次。</w:t>
      </w:r>
      <w:r>
        <w:rPr>
          <w:rFonts w:ascii="仿宋_GB2312" w:eastAsia="仿宋_GB2312" w:hint="eastAsia"/>
          <w:b/>
          <w:bCs/>
          <w:sz w:val="32"/>
          <w:szCs w:val="32"/>
        </w:rPr>
        <w:t>二是做好法治宣传教育。</w:t>
      </w:r>
      <w:r>
        <w:rPr>
          <w:rFonts w:ascii="仿宋_GB2312" w:eastAsia="仿宋_GB2312" w:hint="eastAsia"/>
          <w:sz w:val="32"/>
          <w:szCs w:val="32"/>
        </w:rPr>
        <w:t>认真落实“谁执法谁普法”，深入开展宪法和法治宣传教育进企业、进社区、进校园活动。积极开展“培育法律明白人”“普法进社区 以理伴你行”“宪法宣传周”等普法活动25场次，用通俗易懂的语言对法律知识进行解读，让群众听得懂、学得会、用得上，真正让法律走到居民身边、走进居民心里。</w:t>
      </w:r>
      <w:r>
        <w:rPr>
          <w:rFonts w:ascii="仿宋_GB2312" w:eastAsia="仿宋_GB2312" w:hint="eastAsia"/>
          <w:b/>
          <w:bCs/>
          <w:sz w:val="32"/>
          <w:szCs w:val="32"/>
        </w:rPr>
        <w:t>三是加强法治阵地建设。</w:t>
      </w:r>
      <w:r>
        <w:rPr>
          <w:rFonts w:ascii="仿宋_GB2312" w:eastAsia="仿宋_GB2312" w:hint="eastAsia"/>
          <w:sz w:val="32"/>
          <w:szCs w:val="32"/>
        </w:rPr>
        <w:t>依托街道各级新时代文明实践中心站（所），将法治文化与传统文化、红色文化相融合，充分发挥阵地引领和示范作用，实现学法用法有机统一。</w:t>
      </w:r>
    </w:p>
    <w:p w14:paraId="374CB88A" w14:textId="77777777" w:rsidR="00A24720" w:rsidRDefault="00000000" w:rsidP="00D95A1A">
      <w:pPr>
        <w:overflowPunct w:val="0"/>
        <w:adjustRightInd w:val="0"/>
        <w:snapToGrid w:val="0"/>
        <w:spacing w:line="560" w:lineRule="exact"/>
        <w:ind w:firstLineChars="200" w:firstLine="643"/>
        <w:rPr>
          <w:rFonts w:ascii="仿宋_GB2312" w:eastAsia="仿宋_GB2312"/>
          <w:sz w:val="32"/>
          <w:szCs w:val="32"/>
        </w:rPr>
      </w:pPr>
      <w:r>
        <w:rPr>
          <w:rFonts w:ascii="楷体_GB2312" w:eastAsia="楷体_GB2312" w:hAnsi="黑体" w:hint="eastAsia"/>
          <w:b/>
          <w:bCs/>
          <w:sz w:val="32"/>
          <w:szCs w:val="32"/>
        </w:rPr>
        <w:t>（三）规范权力运行，提升</w:t>
      </w:r>
      <w:proofErr w:type="gramStart"/>
      <w:r>
        <w:rPr>
          <w:rFonts w:ascii="楷体_GB2312" w:eastAsia="楷体_GB2312" w:hAnsi="黑体" w:hint="eastAsia"/>
          <w:b/>
          <w:bCs/>
          <w:sz w:val="32"/>
          <w:szCs w:val="32"/>
        </w:rPr>
        <w:t>依法治街工作</w:t>
      </w:r>
      <w:proofErr w:type="gramEnd"/>
      <w:r>
        <w:rPr>
          <w:rFonts w:ascii="楷体_GB2312" w:eastAsia="楷体_GB2312" w:hAnsi="黑体" w:hint="eastAsia"/>
          <w:b/>
          <w:bCs/>
          <w:sz w:val="32"/>
          <w:szCs w:val="32"/>
        </w:rPr>
        <w:t>水平。</w:t>
      </w:r>
      <w:r>
        <w:rPr>
          <w:rFonts w:ascii="仿宋_GB2312" w:eastAsia="仿宋_GB2312" w:hint="eastAsia"/>
          <w:b/>
          <w:bCs/>
          <w:sz w:val="32"/>
          <w:szCs w:val="32"/>
        </w:rPr>
        <w:t>一是严格依规决策。</w:t>
      </w:r>
      <w:r>
        <w:rPr>
          <w:rFonts w:ascii="仿宋_GB2312" w:eastAsia="仿宋_GB2312" w:hint="eastAsia"/>
          <w:sz w:val="32"/>
          <w:szCs w:val="32"/>
        </w:rPr>
        <w:t>严格落实民主集中制，建立法律顾问参与决策机制，对重大决策进行合法性审查，防范决策风险，确保决策科学民主合法。</w:t>
      </w:r>
      <w:r>
        <w:rPr>
          <w:rFonts w:ascii="仿宋_GB2312" w:eastAsia="仿宋_GB2312" w:hint="eastAsia"/>
          <w:b/>
          <w:bCs/>
          <w:sz w:val="32"/>
          <w:szCs w:val="32"/>
        </w:rPr>
        <w:t>二是加强执法监督。</w:t>
      </w:r>
      <w:r>
        <w:rPr>
          <w:rFonts w:ascii="仿宋_GB2312" w:eastAsia="仿宋_GB2312" w:hint="eastAsia"/>
          <w:sz w:val="32"/>
          <w:szCs w:val="32"/>
        </w:rPr>
        <w:t>组织街道纪检监察工委加大对应急办、</w:t>
      </w:r>
      <w:r>
        <w:rPr>
          <w:rFonts w:ascii="仿宋_GB2312" w:eastAsia="仿宋_GB2312" w:hint="eastAsia"/>
          <w:sz w:val="32"/>
          <w:szCs w:val="32"/>
        </w:rPr>
        <w:lastRenderedPageBreak/>
        <w:t>环保所等部门执法行为的监督力度，杜绝执法不公、执法不严现象。今年以来，累计开展执法行为监督检查20余次，整改问题10余项。</w:t>
      </w:r>
      <w:r>
        <w:rPr>
          <w:rFonts w:ascii="仿宋_GB2312" w:eastAsia="仿宋_GB2312" w:hint="eastAsia"/>
          <w:b/>
          <w:bCs/>
          <w:sz w:val="32"/>
          <w:szCs w:val="32"/>
        </w:rPr>
        <w:t>三是推进信息公开。</w:t>
      </w:r>
      <w:r>
        <w:rPr>
          <w:rFonts w:ascii="仿宋_GB2312" w:eastAsia="仿宋_GB2312" w:hint="eastAsia"/>
          <w:sz w:val="32"/>
          <w:szCs w:val="32"/>
        </w:rPr>
        <w:t>主动接受群众和社会监督，依托街道网站，及时公开街道重大事项、财政预决算等信息。今年以来，主动公开信息500余条，增强了工作的透明度。</w:t>
      </w:r>
    </w:p>
    <w:p w14:paraId="15506897" w14:textId="77777777" w:rsidR="00A24720" w:rsidRDefault="00000000" w:rsidP="00D95A1A">
      <w:pPr>
        <w:overflowPunct w:val="0"/>
        <w:adjustRightInd w:val="0"/>
        <w:snapToGrid w:val="0"/>
        <w:spacing w:line="560" w:lineRule="exact"/>
        <w:ind w:firstLineChars="200" w:firstLine="643"/>
        <w:rPr>
          <w:rFonts w:ascii="仿宋_GB2312" w:eastAsia="仿宋_GB2312"/>
          <w:sz w:val="32"/>
          <w:szCs w:val="32"/>
        </w:rPr>
      </w:pPr>
      <w:r>
        <w:rPr>
          <w:rFonts w:ascii="楷体_GB2312" w:eastAsia="楷体_GB2312" w:hAnsi="黑体" w:hint="eastAsia"/>
          <w:b/>
          <w:bCs/>
          <w:sz w:val="32"/>
          <w:szCs w:val="32"/>
        </w:rPr>
        <w:t>（四）坚持依法治理，维护社会大局和谐稳定。</w:t>
      </w:r>
      <w:r>
        <w:rPr>
          <w:rFonts w:ascii="仿宋_GB2312" w:eastAsia="仿宋_GB2312" w:hint="eastAsia"/>
          <w:b/>
          <w:bCs/>
          <w:sz w:val="32"/>
          <w:szCs w:val="32"/>
        </w:rPr>
        <w:t>一是强化法治服务。</w:t>
      </w:r>
      <w:r>
        <w:rPr>
          <w:rFonts w:ascii="仿宋_GB2312" w:eastAsia="仿宋_GB2312" w:hint="eastAsia"/>
          <w:sz w:val="32"/>
          <w:szCs w:val="32"/>
        </w:rPr>
        <w:t>全面落实法律顾问制度，做到“一村（社区）</w:t>
      </w:r>
      <w:proofErr w:type="gramStart"/>
      <w:r>
        <w:rPr>
          <w:rFonts w:ascii="仿宋_GB2312" w:eastAsia="仿宋_GB2312" w:hint="eastAsia"/>
          <w:sz w:val="32"/>
          <w:szCs w:val="32"/>
        </w:rPr>
        <w:t>一</w:t>
      </w:r>
      <w:proofErr w:type="gramEnd"/>
      <w:r>
        <w:rPr>
          <w:rFonts w:ascii="仿宋_GB2312" w:eastAsia="仿宋_GB2312" w:hint="eastAsia"/>
          <w:sz w:val="32"/>
          <w:szCs w:val="32"/>
        </w:rPr>
        <w:t>顾问”，在处理信访矛盾、征地拆迁、经济事务等问题过程中，充分征求法律顾问、律师和司法部门的意见，降低法治风险，以高水平法治护航高质量发展。</w:t>
      </w:r>
      <w:r>
        <w:rPr>
          <w:rFonts w:ascii="仿宋_GB2312" w:eastAsia="仿宋_GB2312" w:hint="eastAsia"/>
          <w:b/>
          <w:bCs/>
          <w:sz w:val="32"/>
          <w:szCs w:val="32"/>
        </w:rPr>
        <w:t>二是深化矛盾调处。</w:t>
      </w:r>
      <w:r>
        <w:rPr>
          <w:rFonts w:ascii="仿宋_GB2312" w:eastAsia="仿宋_GB2312" w:hint="eastAsia"/>
          <w:sz w:val="32"/>
          <w:szCs w:val="32"/>
        </w:rPr>
        <w:t>将综合执法、交通运输、市场监管等领域执法力量派到网格一线，在网格中参与协商治理、联动执法。积极推进矛盾纠纷“一站式”化解，努力做到矛盾纠纷“小事不出村，大事不出街道”。今年以来，累计化解信访案件12件，进京</w:t>
      </w:r>
      <w:proofErr w:type="gramStart"/>
      <w:r>
        <w:rPr>
          <w:rFonts w:ascii="仿宋_GB2312" w:eastAsia="仿宋_GB2312" w:hint="eastAsia"/>
          <w:sz w:val="32"/>
          <w:szCs w:val="32"/>
        </w:rPr>
        <w:t>访实现</w:t>
      </w:r>
      <w:proofErr w:type="gramEnd"/>
      <w:r>
        <w:rPr>
          <w:rFonts w:ascii="仿宋_GB2312" w:eastAsia="仿宋_GB2312" w:hint="eastAsia"/>
          <w:sz w:val="32"/>
          <w:szCs w:val="32"/>
        </w:rPr>
        <w:t>“零登记”。</w:t>
      </w:r>
      <w:r>
        <w:rPr>
          <w:rFonts w:ascii="仿宋_GB2312" w:eastAsia="仿宋_GB2312" w:hint="eastAsia"/>
          <w:b/>
          <w:bCs/>
          <w:sz w:val="32"/>
          <w:szCs w:val="32"/>
        </w:rPr>
        <w:t>三是优化营商环境。</w:t>
      </w:r>
      <w:r>
        <w:rPr>
          <w:rFonts w:ascii="仿宋_GB2312" w:eastAsia="仿宋_GB2312" w:hint="eastAsia"/>
          <w:sz w:val="32"/>
          <w:szCs w:val="32"/>
        </w:rPr>
        <w:t>扎实开展“兴企优商、政法护航”“护盾2024”“全民反诈”等专项行动，今年以来，累计挽回群众、企业损失50余万元，辖区可防性案件发案同比下降78.5%。</w:t>
      </w:r>
    </w:p>
    <w:p w14:paraId="48C93642" w14:textId="77777777" w:rsidR="00A24720" w:rsidRPr="00421F79" w:rsidRDefault="00421F79" w:rsidP="00D95A1A">
      <w:pPr>
        <w:pStyle w:val="TOC1"/>
        <w:overflowPunct w:val="0"/>
        <w:adjustRightInd w:val="0"/>
        <w:snapToGrid w:val="0"/>
        <w:spacing w:line="560" w:lineRule="exact"/>
        <w:ind w:firstLineChars="200" w:firstLine="640"/>
        <w:rPr>
          <w:rFonts w:ascii="黑体" w:eastAsia="黑体" w:hAnsi="黑体" w:cs="楷体_GB2312" w:hint="eastAsia"/>
          <w:color w:val="000000"/>
          <w:sz w:val="32"/>
          <w:szCs w:val="32"/>
        </w:rPr>
      </w:pPr>
      <w:r>
        <w:rPr>
          <w:rFonts w:ascii="黑体" w:eastAsia="黑体" w:hAnsi="黑体" w:cs="楷体_GB2312" w:hint="eastAsia"/>
          <w:color w:val="000000"/>
          <w:sz w:val="32"/>
          <w:szCs w:val="32"/>
        </w:rPr>
        <w:t>二、</w:t>
      </w:r>
      <w:r w:rsidRPr="00421F79">
        <w:rPr>
          <w:rFonts w:ascii="黑体" w:eastAsia="黑体" w:hAnsi="黑体" w:hint="eastAsia"/>
          <w:color w:val="000000"/>
          <w:sz w:val="32"/>
          <w:szCs w:val="32"/>
        </w:rPr>
        <w:t>2024</w:t>
      </w:r>
      <w:r w:rsidRPr="00421F79">
        <w:rPr>
          <w:rFonts w:ascii="黑体" w:eastAsia="黑体" w:hAnsi="黑体" w:cs="楷体_GB2312" w:hint="eastAsia"/>
          <w:color w:val="000000"/>
          <w:sz w:val="32"/>
          <w:szCs w:val="32"/>
        </w:rPr>
        <w:t>年度推进法治政府建设存在的不足和原因。</w:t>
      </w:r>
    </w:p>
    <w:p w14:paraId="6A334DCD" w14:textId="77777777" w:rsidR="00A24720" w:rsidRDefault="00000000" w:rsidP="00D95A1A">
      <w:pPr>
        <w:overflowPunct w:val="0"/>
        <w:adjustRightInd w:val="0"/>
        <w:snapToGrid w:val="0"/>
        <w:spacing w:line="560" w:lineRule="exact"/>
        <w:ind w:firstLineChars="200" w:firstLine="643"/>
        <w:rPr>
          <w:rFonts w:ascii="仿宋_GB2312" w:eastAsia="仿宋_GB2312"/>
          <w:sz w:val="32"/>
          <w:szCs w:val="32"/>
        </w:rPr>
      </w:pPr>
      <w:r>
        <w:rPr>
          <w:rFonts w:ascii="楷体_GB2312" w:eastAsia="楷体_GB2312" w:hint="eastAsia"/>
          <w:b/>
          <w:bCs/>
          <w:sz w:val="32"/>
          <w:szCs w:val="32"/>
        </w:rPr>
        <w:t>（一）法治建设队伍不够健全。</w:t>
      </w:r>
      <w:r>
        <w:rPr>
          <w:rFonts w:ascii="仿宋_GB2312" w:eastAsia="仿宋_GB2312" w:hint="eastAsia"/>
          <w:sz w:val="32"/>
          <w:szCs w:val="32"/>
        </w:rPr>
        <w:t>街道法治建设和行政执法工作人员往往身兼数职，缺乏系统化、专门化的理论素养提升和专项法治学习，法律业务能力和行政执法能力有待进一步提高。普法队伍里大多数是兼职普法员，由于没有接受过较为全面、系统、</w:t>
      </w:r>
      <w:r>
        <w:rPr>
          <w:rFonts w:ascii="仿宋_GB2312" w:eastAsia="仿宋_GB2312" w:hint="eastAsia"/>
          <w:sz w:val="32"/>
          <w:szCs w:val="32"/>
        </w:rPr>
        <w:lastRenderedPageBreak/>
        <w:t>专业的法律培训，自身法律素养不高，在开展普法工作中要么照本宣科，要么简单上传下达，普法效果一般，满足不了不同群众的法律需求。</w:t>
      </w:r>
    </w:p>
    <w:p w14:paraId="4D3CAAC8" w14:textId="77777777" w:rsidR="00A24720" w:rsidRDefault="00000000" w:rsidP="00D95A1A">
      <w:pPr>
        <w:overflowPunct w:val="0"/>
        <w:adjustRightInd w:val="0"/>
        <w:snapToGrid w:val="0"/>
        <w:spacing w:line="560" w:lineRule="exact"/>
        <w:ind w:firstLineChars="200" w:firstLine="643"/>
        <w:rPr>
          <w:rFonts w:ascii="仿宋_GB2312" w:eastAsia="仿宋_GB2312"/>
          <w:sz w:val="32"/>
          <w:szCs w:val="32"/>
        </w:rPr>
      </w:pPr>
      <w:r>
        <w:rPr>
          <w:rFonts w:ascii="楷体_GB2312" w:eastAsia="楷体_GB2312" w:hint="eastAsia"/>
          <w:b/>
          <w:bCs/>
          <w:sz w:val="32"/>
          <w:szCs w:val="32"/>
        </w:rPr>
        <w:t>（二）法治建设工作缺乏创新。</w:t>
      </w:r>
      <w:r>
        <w:rPr>
          <w:rFonts w:ascii="仿宋_GB2312" w:eastAsia="仿宋_GB2312" w:hint="eastAsia"/>
          <w:sz w:val="32"/>
          <w:szCs w:val="32"/>
        </w:rPr>
        <w:t>法治政府建设推进中，对典型经验的发现、总结和推广不够及时，树立的法治典型、发现亮点还不够多，如何在依法行政前提下创新法治政府建设仍需不断探索。干部学习主动性还不够不强，将理论知识运用到实践中的意识还有欠缺，思想教育方式方法不够丰富多样，教育效果不高，日常管理和督查有待加强。</w:t>
      </w:r>
    </w:p>
    <w:p w14:paraId="2B70976B" w14:textId="77777777" w:rsidR="00A24720" w:rsidRDefault="00000000" w:rsidP="00D95A1A">
      <w:pPr>
        <w:pStyle w:val="TOC1"/>
        <w:overflowPunct w:val="0"/>
        <w:adjustRightInd w:val="0"/>
        <w:snapToGrid w:val="0"/>
        <w:spacing w:line="560" w:lineRule="exact"/>
        <w:ind w:firstLineChars="200" w:firstLine="643"/>
        <w:rPr>
          <w:rFonts w:ascii="仿宋_GB2312" w:eastAsia="仿宋_GB2312"/>
          <w:sz w:val="32"/>
          <w:szCs w:val="32"/>
        </w:rPr>
      </w:pPr>
      <w:r>
        <w:rPr>
          <w:rFonts w:ascii="楷体_GB2312" w:eastAsia="楷体_GB2312" w:hint="eastAsia"/>
          <w:b/>
          <w:bCs/>
          <w:sz w:val="32"/>
          <w:szCs w:val="32"/>
        </w:rPr>
        <w:t>（三）法治文化阵地相对薄弱。</w:t>
      </w:r>
      <w:r>
        <w:rPr>
          <w:rFonts w:ascii="仿宋_GB2312" w:eastAsia="仿宋_GB2312" w:hint="eastAsia"/>
          <w:sz w:val="32"/>
          <w:szCs w:val="32"/>
        </w:rPr>
        <w:t>虽然达到法治阵地全覆盖，但是缺乏亮点和代表性，从“有形”到“有效”亟需加强。日常宣教人员多依靠志愿者以及网格员，受限于时间安排以及人员素质，导致法治文化阵地效果发挥欠佳，基层法治氛围不够浓厚。</w:t>
      </w:r>
    </w:p>
    <w:p w14:paraId="196DB8C4" w14:textId="77777777" w:rsidR="00A24720" w:rsidRPr="00421F79" w:rsidRDefault="00421F79" w:rsidP="00D95A1A">
      <w:pPr>
        <w:pStyle w:val="TOC1"/>
        <w:overflowPunct w:val="0"/>
        <w:adjustRightInd w:val="0"/>
        <w:snapToGrid w:val="0"/>
        <w:spacing w:line="560" w:lineRule="exact"/>
        <w:ind w:firstLineChars="200" w:firstLine="640"/>
        <w:rPr>
          <w:rFonts w:ascii="黑体" w:eastAsia="黑体" w:hAnsi="黑体" w:cs="楷体_GB2312" w:hint="eastAsia"/>
          <w:color w:val="000000"/>
          <w:sz w:val="32"/>
          <w:szCs w:val="32"/>
        </w:rPr>
      </w:pPr>
      <w:r w:rsidRPr="00421F79">
        <w:rPr>
          <w:rFonts w:ascii="黑体" w:eastAsia="黑体" w:hAnsi="黑体" w:cs="楷体_GB2312" w:hint="eastAsia"/>
          <w:color w:val="000000"/>
          <w:sz w:val="32"/>
          <w:szCs w:val="32"/>
        </w:rPr>
        <w:t>三、</w:t>
      </w:r>
      <w:r w:rsidRPr="00421F79">
        <w:rPr>
          <w:rFonts w:ascii="黑体" w:eastAsia="黑体" w:hAnsi="黑体" w:hint="eastAsia"/>
          <w:color w:val="000000"/>
          <w:sz w:val="32"/>
          <w:szCs w:val="32"/>
        </w:rPr>
        <w:t>2024</w:t>
      </w:r>
      <w:r w:rsidRPr="00421F79">
        <w:rPr>
          <w:rFonts w:ascii="黑体" w:eastAsia="黑体" w:hAnsi="黑体" w:cs="楷体_GB2312" w:hint="eastAsia"/>
          <w:color w:val="000000"/>
          <w:sz w:val="32"/>
          <w:szCs w:val="32"/>
        </w:rPr>
        <w:t>年度党政主要负责人履行推进法治建设第一责任人职责，加强法治政府建设的有关情况。</w:t>
      </w:r>
    </w:p>
    <w:p w14:paraId="21560954" w14:textId="77777777" w:rsidR="00A24720" w:rsidRDefault="00000000" w:rsidP="00D95A1A">
      <w:pPr>
        <w:overflowPunct w:val="0"/>
        <w:adjustRightInd w:val="0"/>
        <w:snapToGrid w:val="0"/>
        <w:spacing w:line="560"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充分发挥</w:t>
      </w:r>
      <w:proofErr w:type="gramStart"/>
      <w:r>
        <w:rPr>
          <w:rFonts w:ascii="仿宋_GB2312" w:eastAsia="仿宋_GB2312" w:hAnsi="黑体" w:hint="eastAsia"/>
          <w:color w:val="000000"/>
          <w:sz w:val="32"/>
          <w:szCs w:val="32"/>
        </w:rPr>
        <w:t>依法治街委员会</w:t>
      </w:r>
      <w:proofErr w:type="gramEnd"/>
      <w:r>
        <w:rPr>
          <w:rFonts w:ascii="仿宋_GB2312" w:eastAsia="仿宋_GB2312" w:hAnsi="黑体" w:hint="eastAsia"/>
          <w:color w:val="000000"/>
          <w:sz w:val="32"/>
          <w:szCs w:val="32"/>
        </w:rPr>
        <w:t>及办事机构作用，制定工作细则，全面规范、指导、检查和督促</w:t>
      </w:r>
      <w:r w:rsidR="00421F79">
        <w:rPr>
          <w:rFonts w:ascii="仿宋_GB2312" w:eastAsia="仿宋_GB2312" w:hAnsi="黑体" w:hint="eastAsia"/>
          <w:color w:val="000000"/>
          <w:sz w:val="32"/>
          <w:szCs w:val="32"/>
        </w:rPr>
        <w:t>街道</w:t>
      </w:r>
      <w:r>
        <w:rPr>
          <w:rFonts w:ascii="仿宋_GB2312" w:eastAsia="仿宋_GB2312" w:hAnsi="黑体" w:hint="eastAsia"/>
          <w:color w:val="000000"/>
          <w:sz w:val="32"/>
          <w:szCs w:val="32"/>
        </w:rPr>
        <w:t>法治建设工作。认真履行法治建设工作职责，加强对重点领域、关键环节、重要岗位的监察和审计，召开法治建设工作汇报会议2次。压紧压实党政主要负责人建设法治政府的第一责任，做到重大工作亲自部署、重要问题亲自过问、重点环节亲自督办。将法治建设纳入</w:t>
      </w:r>
      <w:r w:rsidR="00421F79">
        <w:rPr>
          <w:rFonts w:ascii="仿宋_GB2312" w:eastAsia="仿宋_GB2312" w:hAnsi="黑体" w:hint="eastAsia"/>
          <w:color w:val="000000"/>
          <w:sz w:val="32"/>
          <w:szCs w:val="32"/>
        </w:rPr>
        <w:t>街道</w:t>
      </w:r>
      <w:r>
        <w:rPr>
          <w:rFonts w:ascii="仿宋_GB2312" w:eastAsia="仿宋_GB2312" w:hAnsi="黑体" w:hint="eastAsia"/>
          <w:color w:val="000000"/>
          <w:sz w:val="32"/>
          <w:szCs w:val="32"/>
        </w:rPr>
        <w:t>工作规划和年度工作计划，召开专题研讨会议4次，及时研究解决法治建设</w:t>
      </w:r>
      <w:r>
        <w:rPr>
          <w:rFonts w:ascii="仿宋_GB2312" w:eastAsia="仿宋_GB2312" w:hAnsi="黑体" w:hint="eastAsia"/>
          <w:color w:val="000000"/>
          <w:sz w:val="32"/>
          <w:szCs w:val="32"/>
        </w:rPr>
        <w:lastRenderedPageBreak/>
        <w:t>中的各类问题，做到重大问题随时研究</w:t>
      </w:r>
      <w:r>
        <w:rPr>
          <w:rFonts w:ascii="仿宋_GB2312" w:eastAsia="仿宋_GB2312" w:hAnsi="黑体"/>
          <w:color w:val="000000"/>
          <w:sz w:val="32"/>
          <w:szCs w:val="32"/>
        </w:rPr>
        <w:t>解决。</w:t>
      </w:r>
    </w:p>
    <w:p w14:paraId="7CB091FC" w14:textId="77777777" w:rsidR="00A24720" w:rsidRPr="00421F79" w:rsidRDefault="00421F79" w:rsidP="00D95A1A">
      <w:pPr>
        <w:overflowPunct w:val="0"/>
        <w:adjustRightInd w:val="0"/>
        <w:snapToGrid w:val="0"/>
        <w:spacing w:line="560" w:lineRule="exact"/>
        <w:ind w:firstLineChars="200" w:firstLine="640"/>
        <w:rPr>
          <w:rFonts w:ascii="黑体" w:eastAsia="黑体" w:hAnsi="黑体" w:cs="楷体_GB2312" w:hint="eastAsia"/>
          <w:color w:val="000000"/>
          <w:sz w:val="32"/>
          <w:szCs w:val="32"/>
        </w:rPr>
      </w:pPr>
      <w:r w:rsidRPr="00421F79">
        <w:rPr>
          <w:rFonts w:ascii="黑体" w:eastAsia="黑体" w:hAnsi="黑体" w:cs="楷体_GB2312" w:hint="eastAsia"/>
          <w:color w:val="000000"/>
          <w:sz w:val="32"/>
          <w:szCs w:val="32"/>
        </w:rPr>
        <w:t>四、</w:t>
      </w:r>
      <w:r w:rsidRPr="00421F79">
        <w:rPr>
          <w:rFonts w:ascii="黑体" w:eastAsia="黑体" w:hAnsi="黑体" w:hint="eastAsia"/>
          <w:color w:val="000000"/>
          <w:sz w:val="32"/>
          <w:szCs w:val="32"/>
        </w:rPr>
        <w:t>2025</w:t>
      </w:r>
      <w:r w:rsidRPr="00421F79">
        <w:rPr>
          <w:rFonts w:ascii="黑体" w:eastAsia="黑体" w:hAnsi="黑体" w:cs="楷体_GB2312" w:hint="eastAsia"/>
          <w:color w:val="000000"/>
          <w:sz w:val="32"/>
          <w:szCs w:val="32"/>
        </w:rPr>
        <w:t>年度推进法治政府建设的主要安排。</w:t>
      </w:r>
    </w:p>
    <w:p w14:paraId="1CDD72C6" w14:textId="77777777" w:rsidR="00A24720" w:rsidRDefault="00421F79" w:rsidP="00D95A1A">
      <w:pPr>
        <w:pStyle w:val="a3"/>
        <w:overflowPunct w:val="0"/>
        <w:adjustRightInd w:val="0"/>
        <w:snapToGrid w:val="0"/>
        <w:spacing w:line="560" w:lineRule="exact"/>
        <w:ind w:firstLine="643"/>
        <w:rPr>
          <w:rFonts w:ascii="仿宋_GB2312" w:eastAsia="仿宋_GB2312" w:hAnsi="仿宋_GB2312" w:cs="仿宋_GB2312" w:hint="eastAsia"/>
          <w:color w:val="000000"/>
          <w:sz w:val="32"/>
          <w:szCs w:val="32"/>
        </w:rPr>
      </w:pPr>
      <w:r w:rsidRPr="00421F79">
        <w:rPr>
          <w:rFonts w:ascii="楷体_GB2312" w:eastAsia="楷体_GB2312" w:hAnsi="仿宋_GB2312" w:cs="仿宋_GB2312" w:hint="eastAsia"/>
          <w:b/>
          <w:bCs/>
          <w:color w:val="000000"/>
          <w:sz w:val="32"/>
          <w:szCs w:val="32"/>
        </w:rPr>
        <w:t>（一）加强理论学习，不断提升法治能力。</w:t>
      </w:r>
      <w:r>
        <w:rPr>
          <w:rFonts w:ascii="仿宋_GB2312" w:eastAsia="仿宋_GB2312" w:hAnsi="仿宋_GB2312" w:cs="仿宋_GB2312" w:hint="eastAsia"/>
          <w:color w:val="000000"/>
          <w:sz w:val="32"/>
          <w:szCs w:val="32"/>
        </w:rPr>
        <w:t>抓住领导干部这个“关键少数”，通过党工委领导班子会议、理论学习中心组等多种形式，深入学习贯彻习近平总书记关于法治政府建设重要指示精神，学深学透、入脑入心。教育引导广大党员干部不断提高运用法治思维和法治方式解决实际问题的能力，依法保障重大项目建设、征地拆迁、信访接待和社会治理等中心工作的推进。</w:t>
      </w:r>
    </w:p>
    <w:p w14:paraId="7688E414" w14:textId="77777777" w:rsidR="00A24720" w:rsidRDefault="00421F79" w:rsidP="00D95A1A">
      <w:pPr>
        <w:pStyle w:val="a5"/>
        <w:overflowPunct w:val="0"/>
        <w:adjustRightInd w:val="0"/>
        <w:snapToGrid w:val="0"/>
        <w:spacing w:before="0" w:beforeAutospacing="0" w:after="0" w:afterAutospacing="0" w:line="560" w:lineRule="exact"/>
        <w:ind w:firstLineChars="200" w:firstLine="643"/>
        <w:rPr>
          <w:rFonts w:ascii="仿宋_GB2312" w:eastAsia="仿宋_GB2312" w:hAnsi="仿宋_GB2312" w:cs="仿宋_GB2312" w:hint="eastAsia"/>
          <w:color w:val="000000"/>
          <w:sz w:val="32"/>
          <w:szCs w:val="32"/>
        </w:rPr>
      </w:pPr>
      <w:r w:rsidRPr="00421F79">
        <w:rPr>
          <w:rFonts w:ascii="楷体_GB2312" w:eastAsia="楷体_GB2312" w:hAnsi="仿宋_GB2312" w:cs="仿宋_GB2312" w:hint="eastAsia"/>
          <w:b/>
          <w:bCs/>
          <w:color w:val="000000"/>
          <w:kern w:val="2"/>
          <w:sz w:val="32"/>
          <w:szCs w:val="32"/>
        </w:rPr>
        <w:t>（二）建立健全制度，扎实推动依法行政。</w:t>
      </w:r>
      <w:r>
        <w:rPr>
          <w:rFonts w:ascii="仿宋_GB2312" w:eastAsia="仿宋_GB2312" w:hAnsi="仿宋_GB2312" w:cs="仿宋_GB2312" w:hint="eastAsia"/>
          <w:color w:val="000000"/>
          <w:sz w:val="32"/>
          <w:szCs w:val="32"/>
          <w:shd w:val="clear" w:color="auto" w:fill="FFFFFF"/>
        </w:rPr>
        <w:t>建立健全依法、科学、民主的决策机制，坚持问政于民、问需于民、问计于民，充分考虑群众利益，找准执行上级决策与维护群众利益的最佳结合点，不断提高决策水平和依法行政质效，促进依法行政工作。完善决策配套，建立健全重大事项决策程序规定、办公会议制度、行政执法过错追究制度等依法行政相关配套制度，进一步规范行政决策和责任追究，确保行政决策合法、规范、有效。</w:t>
      </w:r>
    </w:p>
    <w:p w14:paraId="7CA2BE69" w14:textId="77777777" w:rsidR="00A24720" w:rsidRDefault="00421F79" w:rsidP="00D95A1A">
      <w:pPr>
        <w:overflowPunct w:val="0"/>
        <w:adjustRightInd w:val="0"/>
        <w:snapToGrid w:val="0"/>
        <w:spacing w:line="560" w:lineRule="exact"/>
        <w:ind w:firstLineChars="196" w:firstLine="630"/>
        <w:rPr>
          <w:rFonts w:ascii="楷体_GB2312" w:eastAsia="楷体_GB2312" w:hAnsi="楷体_GB2312" w:cs="楷体_GB2312" w:hint="eastAsia"/>
          <w:color w:val="000000"/>
          <w:sz w:val="32"/>
          <w:szCs w:val="32"/>
        </w:rPr>
      </w:pPr>
      <w:r w:rsidRPr="00421F79">
        <w:rPr>
          <w:rFonts w:ascii="楷体_GB2312" w:eastAsia="楷体_GB2312" w:hAnsi="仿宋_GB2312" w:cs="仿宋_GB2312" w:hint="eastAsia"/>
          <w:b/>
          <w:bCs/>
          <w:color w:val="000000"/>
          <w:sz w:val="32"/>
          <w:szCs w:val="32"/>
        </w:rPr>
        <w:t>（三）强化氛围营造，持续加强普法宣传。</w:t>
      </w:r>
      <w:r>
        <w:rPr>
          <w:rFonts w:ascii="仿宋_GB2312" w:eastAsia="仿宋_GB2312" w:hAnsi="楷体_GB2312" w:cs="楷体_GB2312" w:hint="eastAsia"/>
          <w:color w:val="000000"/>
          <w:sz w:val="32"/>
          <w:szCs w:val="32"/>
        </w:rPr>
        <w:t>加强法治文化建设，不断创新形式，丰富载体，广泛开展适合不同对象参与的法治宣传教育活动，把法律送到乡村、学校、企业、机关、单位，送到每个干部群众手中。整合司法所、综治中心和行政执法部门力量，重点就涉农利益、教育医疗、食品药品安全等容易引发社会矛盾的领域，组织开展专题法治宣传教育，增强主题宣传活动的吸引力和实效性，全面加快</w:t>
      </w:r>
      <w:proofErr w:type="gramStart"/>
      <w:r>
        <w:rPr>
          <w:rFonts w:ascii="仿宋_GB2312" w:eastAsia="仿宋_GB2312" w:hAnsi="楷体_GB2312" w:cs="楷体_GB2312" w:hint="eastAsia"/>
          <w:color w:val="000000"/>
          <w:sz w:val="32"/>
          <w:szCs w:val="32"/>
        </w:rPr>
        <w:t>法治善南建设</w:t>
      </w:r>
      <w:proofErr w:type="gramEnd"/>
      <w:r>
        <w:rPr>
          <w:rFonts w:ascii="仿宋_GB2312" w:eastAsia="仿宋_GB2312" w:hAnsi="楷体_GB2312" w:cs="楷体_GB2312" w:hint="eastAsia"/>
          <w:color w:val="000000"/>
          <w:sz w:val="32"/>
          <w:szCs w:val="32"/>
        </w:rPr>
        <w:t>。</w:t>
      </w:r>
    </w:p>
    <w:p w14:paraId="0A6FB8C2" w14:textId="77777777" w:rsidR="00421F79" w:rsidRPr="00421F79" w:rsidRDefault="00421F79" w:rsidP="00D95A1A">
      <w:pPr>
        <w:pStyle w:val="TOC1"/>
        <w:overflowPunct w:val="0"/>
        <w:adjustRightInd w:val="0"/>
        <w:snapToGrid w:val="0"/>
        <w:spacing w:line="560" w:lineRule="exact"/>
        <w:ind w:firstLineChars="200" w:firstLine="640"/>
        <w:rPr>
          <w:rFonts w:ascii="黑体" w:eastAsia="黑体" w:hAnsi="黑体" w:cs="楷体_GB2312" w:hint="eastAsia"/>
          <w:color w:val="000000"/>
          <w:sz w:val="32"/>
          <w:szCs w:val="32"/>
        </w:rPr>
      </w:pPr>
      <w:r w:rsidRPr="00421F79">
        <w:rPr>
          <w:rFonts w:ascii="黑体" w:eastAsia="黑体" w:hAnsi="黑体" w:cs="楷体_GB2312" w:hint="eastAsia"/>
          <w:color w:val="000000"/>
          <w:sz w:val="32"/>
          <w:szCs w:val="32"/>
        </w:rPr>
        <w:lastRenderedPageBreak/>
        <w:t>五、其他需要报告的情况。</w:t>
      </w:r>
    </w:p>
    <w:p w14:paraId="7B0FB2A1" w14:textId="77777777" w:rsidR="00A24720" w:rsidRDefault="00000000" w:rsidP="00D95A1A">
      <w:pPr>
        <w:overflowPunct w:val="0"/>
        <w:adjustRightInd w:val="0"/>
        <w:snapToGrid w:val="0"/>
        <w:spacing w:line="560" w:lineRule="exact"/>
        <w:ind w:firstLineChars="196" w:firstLine="627"/>
        <w:rPr>
          <w:rFonts w:ascii="仿宋_GB2312" w:eastAsia="仿宋_GB2312" w:hAnsi="楷体_GB2312" w:cs="楷体_GB2312" w:hint="eastAsia"/>
          <w:color w:val="000000"/>
          <w:sz w:val="32"/>
          <w:szCs w:val="32"/>
        </w:rPr>
      </w:pPr>
      <w:r>
        <w:rPr>
          <w:rFonts w:ascii="仿宋_GB2312" w:eastAsia="仿宋_GB2312" w:hAnsi="楷体_GB2312" w:cs="楷体_GB2312" w:hint="eastAsia"/>
          <w:color w:val="000000"/>
          <w:sz w:val="32"/>
          <w:szCs w:val="32"/>
        </w:rPr>
        <w:t>无</w:t>
      </w:r>
      <w:r w:rsidR="00421F79">
        <w:rPr>
          <w:rFonts w:ascii="仿宋_GB2312" w:eastAsia="仿宋_GB2312" w:hAnsi="楷体_GB2312" w:cs="楷体_GB2312" w:hint="eastAsia"/>
          <w:color w:val="000000"/>
          <w:sz w:val="32"/>
          <w:szCs w:val="32"/>
        </w:rPr>
        <w:t>。</w:t>
      </w:r>
    </w:p>
    <w:p w14:paraId="2444C79F" w14:textId="77777777" w:rsidR="00421F79" w:rsidRDefault="00421F79" w:rsidP="00D95A1A">
      <w:pPr>
        <w:overflowPunct w:val="0"/>
        <w:adjustRightInd w:val="0"/>
        <w:snapToGrid w:val="0"/>
        <w:spacing w:line="560" w:lineRule="exact"/>
        <w:ind w:firstLineChars="196" w:firstLine="627"/>
        <w:rPr>
          <w:rFonts w:ascii="仿宋_GB2312" w:eastAsia="仿宋_GB2312" w:hAnsi="楷体_GB2312" w:cs="楷体_GB2312" w:hint="eastAsia"/>
          <w:color w:val="000000"/>
          <w:sz w:val="32"/>
          <w:szCs w:val="32"/>
        </w:rPr>
      </w:pPr>
    </w:p>
    <w:p w14:paraId="7DAADF6C" w14:textId="77777777" w:rsidR="00421F79" w:rsidRDefault="00421F79" w:rsidP="00D95A1A">
      <w:pPr>
        <w:overflowPunct w:val="0"/>
        <w:adjustRightInd w:val="0"/>
        <w:snapToGrid w:val="0"/>
        <w:spacing w:line="560" w:lineRule="exact"/>
        <w:ind w:firstLineChars="196" w:firstLine="627"/>
        <w:rPr>
          <w:rFonts w:ascii="仿宋_GB2312" w:eastAsia="仿宋_GB2312" w:hAnsi="楷体_GB2312" w:cs="楷体_GB2312" w:hint="eastAsia"/>
          <w:color w:val="000000"/>
          <w:sz w:val="32"/>
          <w:szCs w:val="32"/>
        </w:rPr>
      </w:pPr>
    </w:p>
    <w:p w14:paraId="1F4A2913" w14:textId="77777777" w:rsidR="00421F79" w:rsidRPr="00421F79" w:rsidRDefault="00421F79" w:rsidP="00D95A1A">
      <w:pPr>
        <w:overflowPunct w:val="0"/>
        <w:adjustRightInd w:val="0"/>
        <w:snapToGrid w:val="0"/>
        <w:spacing w:line="560" w:lineRule="exact"/>
        <w:ind w:right="320"/>
        <w:jc w:val="right"/>
        <w:rPr>
          <w:rFonts w:ascii="仿宋_GB2312" w:eastAsia="仿宋_GB2312" w:hAnsi="楷体_GB2312" w:cs="楷体_GB2312" w:hint="eastAsia"/>
          <w:color w:val="000000"/>
          <w:sz w:val="32"/>
          <w:szCs w:val="32"/>
        </w:rPr>
      </w:pPr>
      <w:r w:rsidRPr="00421F79">
        <w:rPr>
          <w:rFonts w:ascii="仿宋_GB2312" w:eastAsia="仿宋_GB2312" w:hAnsi="楷体_GB2312" w:cs="楷体_GB2312" w:hint="eastAsia"/>
          <w:color w:val="000000"/>
          <w:sz w:val="32"/>
          <w:szCs w:val="32"/>
        </w:rPr>
        <w:t>中共善南街道工作委员会</w:t>
      </w:r>
    </w:p>
    <w:p w14:paraId="7B1674AC" w14:textId="77777777" w:rsidR="00421F79" w:rsidRDefault="00421F79" w:rsidP="00D95A1A">
      <w:pPr>
        <w:overflowPunct w:val="0"/>
        <w:adjustRightInd w:val="0"/>
        <w:snapToGrid w:val="0"/>
        <w:spacing w:line="560" w:lineRule="exact"/>
        <w:ind w:right="320"/>
        <w:jc w:val="right"/>
        <w:rPr>
          <w:rFonts w:ascii="仿宋_GB2312" w:eastAsia="仿宋_GB2312" w:hAnsi="楷体_GB2312" w:cs="楷体_GB2312" w:hint="eastAsia"/>
          <w:color w:val="000000"/>
          <w:sz w:val="32"/>
          <w:szCs w:val="32"/>
        </w:rPr>
      </w:pPr>
      <w:r w:rsidRPr="00421F79">
        <w:rPr>
          <w:rFonts w:ascii="仿宋_GB2312" w:eastAsia="仿宋_GB2312" w:hAnsi="楷体_GB2312" w:cs="楷体_GB2312" w:hint="eastAsia"/>
          <w:color w:val="000000"/>
          <w:sz w:val="32"/>
          <w:szCs w:val="32"/>
        </w:rPr>
        <w:t>善</w:t>
      </w:r>
      <w:r w:rsidRPr="00421F79">
        <w:rPr>
          <w:rFonts w:ascii="仿宋_GB2312" w:eastAsia="仿宋_GB2312" w:hAnsi="楷体_GB2312" w:cs="楷体_GB2312" w:hint="eastAsia"/>
          <w:color w:val="000000"/>
          <w:spacing w:val="14"/>
          <w:sz w:val="32"/>
          <w:szCs w:val="32"/>
        </w:rPr>
        <w:t xml:space="preserve"> 南 街 道 办 事 </w:t>
      </w:r>
      <w:r w:rsidRPr="00421F79">
        <w:rPr>
          <w:rFonts w:ascii="仿宋_GB2312" w:eastAsia="仿宋_GB2312" w:hAnsi="楷体_GB2312" w:cs="楷体_GB2312" w:hint="eastAsia"/>
          <w:color w:val="000000"/>
          <w:sz w:val="32"/>
          <w:szCs w:val="32"/>
        </w:rPr>
        <w:t>处</w:t>
      </w:r>
    </w:p>
    <w:p w14:paraId="2786E239" w14:textId="77777777" w:rsidR="00421F79" w:rsidRDefault="00421F79" w:rsidP="00D95A1A">
      <w:pPr>
        <w:overflowPunct w:val="0"/>
        <w:adjustRightInd w:val="0"/>
        <w:snapToGrid w:val="0"/>
        <w:spacing w:line="560" w:lineRule="exact"/>
        <w:ind w:right="640"/>
        <w:jc w:val="right"/>
        <w:rPr>
          <w:rFonts w:ascii="仿宋_GB2312" w:eastAsia="仿宋_GB2312" w:hAnsi="楷体_GB2312" w:cs="楷体_GB2312" w:hint="eastAsia"/>
          <w:color w:val="000000"/>
          <w:sz w:val="32"/>
          <w:szCs w:val="32"/>
        </w:rPr>
      </w:pPr>
      <w:r>
        <w:rPr>
          <w:rFonts w:ascii="仿宋_GB2312" w:eastAsia="仿宋_GB2312" w:hAnsi="楷体_GB2312" w:cs="楷体_GB2312"/>
          <w:color w:val="000000"/>
          <w:sz w:val="32"/>
          <w:szCs w:val="32"/>
        </w:rPr>
        <w:t>202</w:t>
      </w:r>
      <w:r w:rsidR="00D95A1A">
        <w:rPr>
          <w:rFonts w:ascii="仿宋_GB2312" w:eastAsia="仿宋_GB2312" w:hAnsi="楷体_GB2312" w:cs="楷体_GB2312" w:hint="eastAsia"/>
          <w:color w:val="000000"/>
          <w:sz w:val="32"/>
          <w:szCs w:val="32"/>
        </w:rPr>
        <w:t>5</w:t>
      </w:r>
      <w:r>
        <w:rPr>
          <w:rFonts w:ascii="仿宋_GB2312" w:eastAsia="仿宋_GB2312" w:hAnsi="楷体_GB2312" w:cs="楷体_GB2312"/>
          <w:color w:val="000000"/>
          <w:sz w:val="32"/>
          <w:szCs w:val="32"/>
        </w:rPr>
        <w:t>年</w:t>
      </w:r>
      <w:r w:rsidR="00D95A1A">
        <w:rPr>
          <w:rFonts w:ascii="仿宋_GB2312" w:eastAsia="仿宋_GB2312" w:hAnsi="楷体_GB2312" w:cs="楷体_GB2312" w:hint="eastAsia"/>
          <w:color w:val="000000"/>
          <w:sz w:val="32"/>
          <w:szCs w:val="32"/>
        </w:rPr>
        <w:t>2</w:t>
      </w:r>
      <w:r>
        <w:rPr>
          <w:rFonts w:ascii="仿宋_GB2312" w:eastAsia="仿宋_GB2312" w:hAnsi="楷体_GB2312" w:cs="楷体_GB2312"/>
          <w:color w:val="000000"/>
          <w:sz w:val="32"/>
          <w:szCs w:val="32"/>
        </w:rPr>
        <w:t>月</w:t>
      </w:r>
      <w:r w:rsidR="00D95A1A">
        <w:rPr>
          <w:rFonts w:ascii="仿宋_GB2312" w:eastAsia="仿宋_GB2312" w:hAnsi="楷体_GB2312" w:cs="楷体_GB2312" w:hint="eastAsia"/>
          <w:color w:val="000000"/>
          <w:sz w:val="32"/>
          <w:szCs w:val="32"/>
        </w:rPr>
        <w:t>24</w:t>
      </w:r>
      <w:r>
        <w:rPr>
          <w:rFonts w:ascii="仿宋_GB2312" w:eastAsia="仿宋_GB2312" w:hAnsi="楷体_GB2312" w:cs="楷体_GB2312"/>
          <w:color w:val="000000"/>
          <w:sz w:val="32"/>
          <w:szCs w:val="32"/>
        </w:rPr>
        <w:t>日</w:t>
      </w:r>
    </w:p>
    <w:sectPr w:rsidR="00421F79" w:rsidSect="00CD4011">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12E6" w14:textId="77777777" w:rsidR="00401101" w:rsidRDefault="00401101">
      <w:r>
        <w:separator/>
      </w:r>
    </w:p>
  </w:endnote>
  <w:endnote w:type="continuationSeparator" w:id="0">
    <w:p w14:paraId="5F958474" w14:textId="77777777" w:rsidR="00401101" w:rsidRDefault="0040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58B2" w14:textId="77777777" w:rsidR="00A24720" w:rsidRDefault="00000000">
    <w:pPr>
      <w:pStyle w:val="a4"/>
    </w:pPr>
    <w:r>
      <w:rPr>
        <w:noProof/>
      </w:rPr>
      <mc:AlternateContent>
        <mc:Choice Requires="wps">
          <w:drawing>
            <wp:anchor distT="0" distB="0" distL="114300" distR="114300" simplePos="0" relativeHeight="251658240" behindDoc="0" locked="0" layoutInCell="1" allowOverlap="1" wp14:anchorId="65F3C849" wp14:editId="54578E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F53F3" w14:textId="77777777" w:rsidR="00A24720" w:rsidRDefault="00000000">
                          <w:pPr>
                            <w:pStyle w:val="a4"/>
                            <w:rPr>
                              <w:rFonts w:ascii="宋体" w:hAnsi="宋体" w:cs="宋体" w:hint="eastAsia"/>
                              <w:sz w:val="24"/>
                            </w:rPr>
                          </w:pP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r>
                            <w:rPr>
                              <w:rFonts w:ascii="宋体" w:hAnsi="宋体" w:cs="宋体" w:hint="eastAsia"/>
                              <w:sz w:val="24"/>
                            </w:rPr>
                            <w:t xml:space="preserve"> —</w:t>
                          </w:r>
                        </w:p>
                      </w:txbxContent>
                    </wps:txbx>
                    <wps:bodyPr wrap="none" lIns="0" tIns="0" rIns="0" bIns="0">
                      <a:spAutoFit/>
                    </wps:bodyPr>
                  </wps:wsp>
                </a:graphicData>
              </a:graphic>
            </wp:anchor>
          </w:drawing>
        </mc:Choice>
        <mc:Fallback>
          <w:pict>
            <v:shapetype w14:anchorId="65F3C84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E0F53F3" w14:textId="77777777" w:rsidR="00A24720" w:rsidRDefault="00000000">
                    <w:pPr>
                      <w:pStyle w:val="a4"/>
                      <w:rPr>
                        <w:rFonts w:ascii="宋体" w:hAnsi="宋体" w:cs="宋体" w:hint="eastAsia"/>
                        <w:sz w:val="24"/>
                      </w:rPr>
                    </w:pP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r>
                      <w:rPr>
                        <w:rFonts w:ascii="宋体" w:hAnsi="宋体" w:cs="宋体" w:hint="eastAsia"/>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3D4B" w14:textId="77777777" w:rsidR="00401101" w:rsidRDefault="00401101">
      <w:r>
        <w:separator/>
      </w:r>
    </w:p>
  </w:footnote>
  <w:footnote w:type="continuationSeparator" w:id="0">
    <w:p w14:paraId="7F1BB6F0" w14:textId="77777777" w:rsidR="00401101" w:rsidRDefault="00401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720"/>
    <w:rsid w:val="00401101"/>
    <w:rsid w:val="00421F79"/>
    <w:rsid w:val="00630219"/>
    <w:rsid w:val="00815343"/>
    <w:rsid w:val="00816981"/>
    <w:rsid w:val="00A24720"/>
    <w:rsid w:val="00BC790C"/>
    <w:rsid w:val="00CD4011"/>
    <w:rsid w:val="00D95A1A"/>
    <w:rsid w:val="6DFA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12DEC"/>
  <w15:docId w15:val="{1AA87346-8309-40C4-9731-217E23B1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footer"/>
    <w:basedOn w:val="a"/>
    <w:pPr>
      <w:tabs>
        <w:tab w:val="center" w:pos="4153"/>
        <w:tab w:val="right" w:pos="8306"/>
      </w:tabs>
      <w:snapToGrid w:val="0"/>
      <w:jc w:val="left"/>
    </w:pPr>
    <w:rPr>
      <w:sz w:val="18"/>
    </w:rPr>
  </w:style>
  <w:style w:type="paragraph" w:styleId="TOC1">
    <w:name w:val="toc 1"/>
    <w:basedOn w:val="a"/>
    <w:next w:val="a"/>
    <w:uiPriority w:val="99"/>
    <w:semiHidden/>
    <w:qFormat/>
  </w:style>
  <w:style w:type="paragraph" w:styleId="a5">
    <w:name w:val="Normal (Web)"/>
    <w:basedOn w:val="a"/>
    <w:pPr>
      <w:spacing w:before="100" w:beforeAutospacing="1" w:after="100" w:afterAutospacing="1"/>
      <w:jc w:val="left"/>
    </w:pPr>
    <w:rPr>
      <w:kern w:val="0"/>
      <w:sz w:val="24"/>
    </w:rPr>
  </w:style>
  <w:style w:type="paragraph" w:customStyle="1" w:styleId="1">
    <w:name w:val="正文文本1"/>
    <w:basedOn w:val="a"/>
    <w:qFormat/>
    <w:pPr>
      <w:spacing w:after="120"/>
    </w:pPr>
  </w:style>
  <w:style w:type="paragraph" w:styleId="a6">
    <w:name w:val="header"/>
    <w:basedOn w:val="a"/>
    <w:link w:val="a7"/>
    <w:rsid w:val="00D95A1A"/>
    <w:pPr>
      <w:tabs>
        <w:tab w:val="center" w:pos="4153"/>
        <w:tab w:val="right" w:pos="8306"/>
      </w:tabs>
      <w:snapToGrid w:val="0"/>
      <w:jc w:val="center"/>
    </w:pPr>
    <w:rPr>
      <w:sz w:val="18"/>
      <w:szCs w:val="18"/>
    </w:rPr>
  </w:style>
  <w:style w:type="character" w:customStyle="1" w:styleId="a7">
    <w:name w:val="页眉 字符"/>
    <w:basedOn w:val="a0"/>
    <w:link w:val="a6"/>
    <w:rsid w:val="00D95A1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1388</Words>
  <Characters>1403</Characters>
  <Application>Microsoft Office Word</Application>
  <DocSecurity>0</DocSecurity>
  <Lines>58</Lines>
  <Paragraphs>26</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cp:lastModifiedBy>
  <cp:revision>3</cp:revision>
  <cp:lastPrinted>2025-02-27T07:25:00Z</cp:lastPrinted>
  <dcterms:created xsi:type="dcterms:W3CDTF">2024-12-27T02:37:00Z</dcterms:created>
  <dcterms:modified xsi:type="dcterms:W3CDTF">2025-02-27T07:25:00Z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92CE4439D46F4929BD5AB692E3A1D53B_12</vt:lpwstr>
  </property>
</Properties>
</file>